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DD9" w:rsidRPr="00A83910" w:rsidRDefault="00235DD9" w:rsidP="00235DD9">
      <w:pPr>
        <w:jc w:val="center"/>
        <w:rPr>
          <w:b/>
        </w:rPr>
      </w:pPr>
      <w:r w:rsidRPr="00A83910">
        <w:rPr>
          <w:b/>
        </w:rPr>
        <w:t>Информационное сообщение регионального оператора</w:t>
      </w:r>
    </w:p>
    <w:p w:rsidR="00235DD9" w:rsidRPr="00A83910" w:rsidRDefault="00235DD9" w:rsidP="00235DD9">
      <w:pPr>
        <w:jc w:val="center"/>
        <w:rPr>
          <w:b/>
        </w:rPr>
      </w:pPr>
      <w:r w:rsidRPr="00A83910">
        <w:rPr>
          <w:b/>
        </w:rPr>
        <w:t>по обращению с ТКО в Тверской области</w:t>
      </w:r>
    </w:p>
    <w:p w:rsidR="00235DD9" w:rsidRDefault="00235DD9" w:rsidP="00235DD9">
      <w:proofErr w:type="gramStart"/>
      <w:r>
        <w:t>Согласно Федеральному закону от 24.06.1998 № 89-ФЗ «Об отходах производства и потребления» с момента перехода на новое регулирование в области обращения с твердыми коммунальными отходами на территории субъекта Российской Федерации сбор, транспортирование, обработка, утилизация, обезвреживание, захоронение твердых коммунальных отходов обеспечиваются региональными операторами в соответствии с Правилами обращения с твердыми коммунальными отходами, утвержденными постановлением Правительства Российской Федерации от 12 ноября 2016 г</w:t>
      </w:r>
      <w:proofErr w:type="gramEnd"/>
      <w:r>
        <w:t>. № 1156 (далее Постановление № 1156), региональной программой и территориальной схемой.</w:t>
      </w:r>
    </w:p>
    <w:p w:rsidR="00235DD9" w:rsidRDefault="00235DD9" w:rsidP="00235DD9">
      <w:proofErr w:type="gramStart"/>
      <w:r>
        <w:t>Между Министерством строительства и жилищно-коммунального хозяйства Тверской области и муниципальным унитарным предприятием «</w:t>
      </w:r>
      <w:proofErr w:type="spellStart"/>
      <w:r>
        <w:t>Тверьспецавтохозяйство</w:t>
      </w:r>
      <w:proofErr w:type="spellEnd"/>
      <w:r>
        <w:t>» по результатам проведенного конкурсного отбора региональных операторов по обращению с твердыми коммунальными отходами 19 апреля 2018 года подписано Соглашение об организации деятельности по обращению с твердыми коммунальными отходами (далее ТКО) на территории Тверской области, в соответствии с  которым муниципальное унитарное предприятие «</w:t>
      </w:r>
      <w:proofErr w:type="spellStart"/>
      <w:r>
        <w:t>Тверьспецавтохозяйство</w:t>
      </w:r>
      <w:proofErr w:type="spellEnd"/>
      <w:r>
        <w:t>» наделено статусом регионального оператора по</w:t>
      </w:r>
      <w:proofErr w:type="gramEnd"/>
      <w:r>
        <w:t xml:space="preserve"> обращению с ТКО до 31.03.2028 (далее — Региональный оператор).</w:t>
      </w:r>
    </w:p>
    <w:p w:rsidR="00235DD9" w:rsidRDefault="00235DD9" w:rsidP="00235DD9">
      <w:proofErr w:type="gramStart"/>
      <w:r>
        <w:t>Основной целью деятельности Регионального оператора является обеспечение на территории Тверской области своевременного и качественного накопления (в том числе раздельного накопления), сбора, транспортирования, обработки, утилизации, обезвреживания, захоронения ТКО, а также учет движения ТКО в зоне его деятельности в соответствии с Территориальной схемой обращения с отходами, в том числе с твердыми коммунальными отходами, в Тверской области, утвержденной постановлением Правительства Тверской области от</w:t>
      </w:r>
      <w:proofErr w:type="gramEnd"/>
      <w:r>
        <w:t xml:space="preserve"> 29.12.2017 № 477-пп.</w:t>
      </w:r>
    </w:p>
    <w:p w:rsidR="00235DD9" w:rsidRDefault="00235DD9" w:rsidP="00235DD9">
      <w:r>
        <w:t>В соответствии с Территориальной схемой обращения с отходами в зону деятельности Регионального оператора включается вся территория Тверской области.</w:t>
      </w:r>
    </w:p>
    <w:p w:rsidR="00235DD9" w:rsidRDefault="00235DD9" w:rsidP="00235DD9">
      <w:r>
        <w:t>Региональный оператор приступит к выполнению своих функций с 01.01.2019 (дата начала обращения с ТКО) при условии утверждения до указанной даты тарифа на услугу Регионального оператора. Информирование потребителей о тарифе на услугу Регионального оператора будет осуществлено дополнительно путем размещения публикаций в средствах массовой информации и на официальном сайте Регионального оператора.</w:t>
      </w:r>
    </w:p>
    <w:p w:rsidR="00235DD9" w:rsidRDefault="00235DD9" w:rsidP="00235DD9">
      <w:r>
        <w:t>Все собственники ТКО ОБЯЗАНЫ заключить договор на оказание услуг по обращению с ТКО с региональным оператором, в зоне деятельности которого образуются твердые коммунальные отходы и находятся места их сбора, оплачивают услуги регионального оператора по цене, определенной в пределах утвержденного в установленном порядке единого тарифа на услугу Регионального оператора.</w:t>
      </w:r>
    </w:p>
    <w:p w:rsidR="00235DD9" w:rsidRDefault="00235DD9" w:rsidP="00235DD9">
      <w:r>
        <w:t>Договоры, заключенные собственниками ТКО (собственники помещений в многоквартирных домах, собственники частных домовладений, а также юридические лица и индивидуальные предприниматели, в результате деятельности которых образуются твердые коммунальные отходы) на сбор и вывоз твердых коммунальных отходов, действуют до заключения договора с Региональным оператором.</w:t>
      </w:r>
    </w:p>
    <w:p w:rsidR="00235DD9" w:rsidRDefault="00235DD9" w:rsidP="00235DD9">
      <w:r>
        <w:lastRenderedPageBreak/>
        <w:t xml:space="preserve">В соответствии с Постановлением № 1156 потребители осуществляют складирование ТКО в местах сбора и накопления ТКО, определенных договором на оказание услуг по обращению с ТКО, в соответствии с территориальной схемой обращения с отходами (п.9); </w:t>
      </w:r>
      <w:proofErr w:type="gramStart"/>
      <w:r>
        <w:t>бремя содержания контейнерных площадок, специальных площадок для складирования крупногабаритных отходов и территории, прилегающей к месту погрузки ТКО, расположенных на придомовой территории, входящей в состав общего имущества собственников помещений в многоквартирном доме, несут собственники помещений в многоквартирном доме, бремя содержания контейнерных площадок, специальных площадок для складирования крупногабаритных отходов и территории, прилегающей к месту погрузки ТКО, не входящих в состав общего имущества</w:t>
      </w:r>
      <w:proofErr w:type="gramEnd"/>
      <w:r>
        <w:t xml:space="preserve"> собственников помещений в многоквартирных домах, несут собственники земельного участка, на котором расположены такие площадки и территория (п.13); лицо, ответственное за содержание, обязано обеспечить на таких площадках размещение информации об обслуживаемых объектах потребителей и о собственнике площадок (п. 14).</w:t>
      </w:r>
    </w:p>
    <w:p w:rsidR="00235DD9" w:rsidRDefault="00235DD9" w:rsidP="00235DD9">
      <w:r>
        <w:t>Контейнеры для ТКО приобретаются потребителями самостоятельно. Расположение контейнеров предусматривается территориальной схемой.</w:t>
      </w:r>
    </w:p>
    <w:p w:rsidR="00235DD9" w:rsidRDefault="00235DD9" w:rsidP="00235DD9">
      <w:r>
        <w:t>Плата за обращение с ТКО является коммунальной услугой. В соответствии с Постановлением Правительства РФ от 06.05.2011 № 354 «О предоставлении коммунальных услуг собственникам и пользователям помещений в многоквартирных домах и жилых домах» управляющие организации, товарищества собственников жилья и иные кооперативы становятся исполнителями, предоставляющими потребителю коммунальную услугу по обращению с ТКО.</w:t>
      </w:r>
    </w:p>
    <w:p w:rsidR="00235DD9" w:rsidRDefault="00235DD9" w:rsidP="00235DD9">
      <w:r>
        <w:t>Региональные операторы заключают договоры на оказание услуг по обращению с ТКО:</w:t>
      </w:r>
    </w:p>
    <w:p w:rsidR="00235DD9" w:rsidRDefault="00235DD9" w:rsidP="00235DD9">
      <w:r>
        <w:t>а) в отношении ТКО, образующихся в многоквартирных домах, - в соответствии с жилищным законодательством с лицом, осуществляющим управление многоквартирным домом, либо с собственниками жилых и нежилых помещений в многоквартирном доме при непосредственном управлении многоквартирным домом;</w:t>
      </w:r>
    </w:p>
    <w:p w:rsidR="00235DD9" w:rsidRDefault="00235DD9" w:rsidP="00235DD9">
      <w:r>
        <w:t>б) в отношении ТКО, образующихся в жилых домах, домовладениях - с собственниками или пользователями жилых домов, домовладений;</w:t>
      </w:r>
    </w:p>
    <w:p w:rsidR="00235DD9" w:rsidRDefault="00235DD9" w:rsidP="00235DD9">
      <w:r>
        <w:t>в) в отношении ТКО, образующихся в иных зданиях, строениях, сооружениях, нежилых помещениях, на земельных участках, - с собственниками или лицами, владеющими такими зданиями, строениями, сооружениями, нежилыми помещениями, земельными участками на законных основаниях или уполномоченными ими лицами.</w:t>
      </w:r>
    </w:p>
    <w:p w:rsidR="00235DD9" w:rsidRDefault="00235DD9" w:rsidP="00235DD9">
      <w:r>
        <w:t xml:space="preserve">Согласно ст. 157 Жилищного кодекса РФ размер платы за коммунальную услугу по обращению с ТКО будет рассчитываться исходя из нормативов накопления твердых коммунальных отходов. Начисление платы для физических лиц, постоянно и временно проживающих в многоквартирном доме, жилых домах, домовладениях, будет осуществляться по количеству проживающих человек в жилом помещении. </w:t>
      </w:r>
    </w:p>
    <w:p w:rsidR="00235DD9" w:rsidRDefault="00235DD9" w:rsidP="00235DD9">
      <w:r>
        <w:t>С учетом изложенного, руководствуясь пунктом 6 Постановления       № 1156, Региональный оператор предлагает заключить договор на оказание услуг по обращению с ТКО.</w:t>
      </w:r>
    </w:p>
    <w:p w:rsidR="00235DD9" w:rsidRDefault="00235DD9" w:rsidP="00235DD9">
      <w:r>
        <w:lastRenderedPageBreak/>
        <w:t xml:space="preserve">Форма договора и вся необходимая информация для заключения договора с Региональным оператором размещена на официальном сайте Регионального оператора в сети Интернет http://www.tcax@mail.ru </w:t>
      </w:r>
    </w:p>
    <w:p w:rsidR="00235DD9" w:rsidRDefault="00235DD9" w:rsidP="00235DD9">
      <w:r>
        <w:t>Договор на оказание услуг по обращению с твердыми коммунальными отходами может быть дополнен по соглашению сторон иными не противоречащими законодательству Российской Федерации положениями.</w:t>
      </w:r>
    </w:p>
    <w:p w:rsidR="00235DD9" w:rsidRPr="00A83910" w:rsidRDefault="00235DD9" w:rsidP="00235DD9">
      <w:r>
        <w:t>Обращаем внимание: не заключение с региональным оператором договора может повлечь за собой ответственность, установленную действующим законодательством РФ.</w:t>
      </w:r>
    </w:p>
    <w:p w:rsidR="00A217C0" w:rsidRDefault="00A217C0">
      <w:bookmarkStart w:id="0" w:name="_GoBack"/>
      <w:bookmarkEnd w:id="0"/>
    </w:p>
    <w:sectPr w:rsidR="00A217C0" w:rsidSect="00166D5A">
      <w:headerReference w:type="default" r:id="rId5"/>
      <w:footerReference w:type="default" r:id="rId6"/>
      <w:pgSz w:w="11906" w:h="16838" w:code="9"/>
      <w:pgMar w:top="567" w:right="720" w:bottom="24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etoSansCondensed Regular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4"/>
      <w:tblW w:w="13008" w:type="dxa"/>
      <w:tblInd w:w="-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8D05"/>
      <w:tblLook w:val="04A0" w:firstRow="1" w:lastRow="0" w:firstColumn="1" w:lastColumn="0" w:noHBand="0" w:noVBand="1"/>
    </w:tblPr>
    <w:tblGrid>
      <w:gridCol w:w="13008"/>
    </w:tblGrid>
    <w:tr w:rsidR="00166D5A" w:rsidTr="00166D5A">
      <w:tc>
        <w:tcPr>
          <w:tcW w:w="13008" w:type="dxa"/>
          <w:shd w:val="clear" w:color="auto" w:fill="008D05"/>
        </w:tcPr>
        <w:p w:rsidR="00166D5A" w:rsidRDefault="00235DD9" w:rsidP="00166D5A">
          <w:pPr>
            <w:pStyle w:val="a7"/>
            <w:tabs>
              <w:tab w:val="clear" w:pos="9355"/>
              <w:tab w:val="right" w:pos="10206"/>
            </w:tabs>
            <w:ind w:right="-850"/>
          </w:pPr>
        </w:p>
      </w:tc>
    </w:tr>
  </w:tbl>
  <w:p w:rsidR="00166D5A" w:rsidRDefault="00235DD9" w:rsidP="00166D5A">
    <w:pPr>
      <w:pStyle w:val="a7"/>
      <w:tabs>
        <w:tab w:val="clear" w:pos="9355"/>
        <w:tab w:val="right" w:pos="10206"/>
      </w:tabs>
      <w:ind w:right="-85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4"/>
      <w:tblW w:w="0" w:type="auto"/>
      <w:jc w:val="center"/>
      <w:tblBorders>
        <w:top w:val="none" w:sz="0" w:space="0" w:color="auto"/>
        <w:left w:val="none" w:sz="0" w:space="0" w:color="auto"/>
        <w:bottom w:val="single" w:sz="8" w:space="0" w:color="008D05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36"/>
      <w:gridCol w:w="5635"/>
    </w:tblGrid>
    <w:tr w:rsidR="000D42E9" w:rsidTr="003F4A49">
      <w:trPr>
        <w:jc w:val="center"/>
      </w:trPr>
      <w:tc>
        <w:tcPr>
          <w:tcW w:w="3936" w:type="dxa"/>
          <w:vAlign w:val="center"/>
        </w:tcPr>
        <w:p w:rsidR="000D42E9" w:rsidRDefault="00235DD9" w:rsidP="003F4A49">
          <w:r>
            <w:rPr>
              <w:noProof/>
              <w:lang w:eastAsia="ru-RU"/>
            </w:rPr>
            <w:drawing>
              <wp:inline distT="0" distB="0" distL="0" distR="0" wp14:anchorId="7E158B37" wp14:editId="1B8AC92D">
                <wp:extent cx="2028825" cy="776828"/>
                <wp:effectExtent l="19050" t="0" r="9525" b="0"/>
                <wp:docPr id="5" name="Рисунок 0" descr="лого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.eps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0469" cy="781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5" w:type="dxa"/>
          <w:vAlign w:val="center"/>
        </w:tcPr>
        <w:p w:rsidR="000D42E9" w:rsidRPr="005A7E4C" w:rsidRDefault="00235DD9" w:rsidP="00AA0FFD">
          <w:pPr>
            <w:jc w:val="right"/>
            <w:rPr>
              <w:rFonts w:ascii="LetoSansCondensed Regular" w:eastAsia="Times New Roman" w:hAnsi="LetoSansCondensed Regular" w:cs="Times New Roman"/>
              <w:sz w:val="20"/>
              <w:szCs w:val="20"/>
              <w:lang w:eastAsia="ru-RU"/>
            </w:rPr>
          </w:pPr>
          <w:r w:rsidRPr="005A7E4C">
            <w:rPr>
              <w:rFonts w:ascii="LetoSansCondensed Regular" w:eastAsia="Times New Roman" w:hAnsi="LetoSansCondensed Regular" w:cs="Times New Roman"/>
              <w:bCs/>
              <w:sz w:val="20"/>
              <w:szCs w:val="20"/>
              <w:lang w:eastAsia="ru-RU"/>
            </w:rPr>
            <w:t>Региональный оператор по обращению с ТКО</w:t>
          </w:r>
        </w:p>
        <w:p w:rsidR="000D42E9" w:rsidRPr="005A7E4C" w:rsidRDefault="00235DD9" w:rsidP="00AA0FFD">
          <w:pPr>
            <w:jc w:val="right"/>
            <w:rPr>
              <w:rFonts w:ascii="LetoSansCondensed Regular" w:eastAsia="Times New Roman" w:hAnsi="LetoSansCondensed Regular" w:cs="Times New Roman"/>
              <w:sz w:val="20"/>
              <w:szCs w:val="20"/>
              <w:lang w:eastAsia="ru-RU"/>
            </w:rPr>
          </w:pPr>
          <w:r w:rsidRPr="005A7E4C">
            <w:rPr>
              <w:rFonts w:ascii="LetoSansCondensed Regular" w:eastAsia="Times New Roman" w:hAnsi="LetoSansCondensed Regular" w:cs="Times New Roman"/>
              <w:bCs/>
              <w:sz w:val="20"/>
              <w:szCs w:val="20"/>
              <w:lang w:eastAsia="ru-RU"/>
            </w:rPr>
            <w:t>ООО «</w:t>
          </w:r>
          <w:proofErr w:type="spellStart"/>
          <w:r w:rsidRPr="005A7E4C">
            <w:rPr>
              <w:rFonts w:ascii="LetoSansCondensed Regular" w:eastAsia="Times New Roman" w:hAnsi="LetoSansCondensed Regular" w:cs="Times New Roman"/>
              <w:bCs/>
              <w:sz w:val="20"/>
              <w:szCs w:val="20"/>
              <w:lang w:eastAsia="ru-RU"/>
            </w:rPr>
            <w:t>Тверьспецавтохозяйство</w:t>
          </w:r>
          <w:proofErr w:type="spellEnd"/>
          <w:r w:rsidRPr="005A7E4C">
            <w:rPr>
              <w:rFonts w:ascii="LetoSansCondensed Regular" w:eastAsia="Times New Roman" w:hAnsi="LetoSansCondensed Regular" w:cs="Times New Roman"/>
              <w:bCs/>
              <w:sz w:val="20"/>
              <w:szCs w:val="20"/>
              <w:lang w:eastAsia="ru-RU"/>
            </w:rPr>
            <w:t>»</w:t>
          </w:r>
        </w:p>
        <w:p w:rsidR="00AA0FFD" w:rsidRPr="00AA0FFD" w:rsidRDefault="00235DD9" w:rsidP="00AA0FFD">
          <w:pPr>
            <w:jc w:val="right"/>
            <w:rPr>
              <w:rFonts w:ascii="LetoSansCondensed Regular" w:hAnsi="LetoSansCondensed Regular"/>
              <w:sz w:val="20"/>
              <w:szCs w:val="20"/>
            </w:rPr>
          </w:pPr>
          <w:r w:rsidRPr="00AA0FFD">
            <w:rPr>
              <w:rFonts w:ascii="LetoSansCondensed Regular" w:hAnsi="LetoSansCondensed Regular"/>
              <w:sz w:val="20"/>
              <w:szCs w:val="20"/>
            </w:rPr>
            <w:t xml:space="preserve">Пресс-служба </w:t>
          </w:r>
          <w:r w:rsidRPr="00AA0FFD">
            <w:rPr>
              <w:rStyle w:val="js-phone-number"/>
              <w:rFonts w:ascii="LetoSansCondensed Regular" w:hAnsi="LetoSansCondensed Regular"/>
              <w:sz w:val="20"/>
              <w:szCs w:val="20"/>
            </w:rPr>
            <w:t>8(910)640-01-81</w:t>
          </w:r>
          <w:r w:rsidRPr="00AA0FFD">
            <w:rPr>
              <w:rFonts w:ascii="LetoSansCondensed Regular" w:hAnsi="LetoSansCondensed Regular"/>
              <w:sz w:val="20"/>
              <w:szCs w:val="20"/>
            </w:rPr>
            <w:br/>
          </w:r>
          <w:hyperlink r:id="rId2" w:history="1">
            <w:r w:rsidRPr="00AA0FFD">
              <w:rPr>
                <w:rStyle w:val="a3"/>
                <w:rFonts w:ascii="LetoSansCondensed Regular" w:hAnsi="LetoSansCondensed Regular"/>
                <w:sz w:val="20"/>
                <w:szCs w:val="20"/>
              </w:rPr>
              <w:t>ivanchenko.ts@tcax.ru</w:t>
            </w:r>
          </w:hyperlink>
        </w:p>
        <w:p w:rsidR="000D42E9" w:rsidRPr="005A7E4C" w:rsidRDefault="00235DD9" w:rsidP="003F4A49">
          <w:pPr>
            <w:jc w:val="right"/>
            <w:rPr>
              <w:rFonts w:ascii="LetoSansCondensed Regular" w:eastAsia="Times New Roman" w:hAnsi="LetoSansCondensed Regular" w:cs="Times New Roman"/>
              <w:bCs/>
              <w:sz w:val="20"/>
              <w:szCs w:val="20"/>
              <w:lang w:eastAsia="ru-RU"/>
            </w:rPr>
          </w:pPr>
        </w:p>
      </w:tc>
    </w:tr>
  </w:tbl>
  <w:p w:rsidR="000D42E9" w:rsidRDefault="00235DD9" w:rsidP="00166D5A">
    <w:pPr>
      <w:pStyle w:val="a5"/>
      <w:tabs>
        <w:tab w:val="clear" w:pos="4677"/>
        <w:tab w:val="clear" w:pos="9355"/>
        <w:tab w:val="left" w:pos="409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DD9"/>
    <w:rsid w:val="00235DD9"/>
    <w:rsid w:val="00A2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phone-number">
    <w:name w:val="js-phone-number"/>
    <w:basedOn w:val="a0"/>
    <w:rsid w:val="00235DD9"/>
  </w:style>
  <w:style w:type="character" w:styleId="a3">
    <w:name w:val="Hyperlink"/>
    <w:basedOn w:val="a0"/>
    <w:uiPriority w:val="99"/>
    <w:semiHidden/>
    <w:unhideWhenUsed/>
    <w:rsid w:val="00235DD9"/>
    <w:rPr>
      <w:color w:val="0000FF"/>
      <w:u w:val="single"/>
    </w:rPr>
  </w:style>
  <w:style w:type="table" w:styleId="a4">
    <w:name w:val="Table Grid"/>
    <w:basedOn w:val="a1"/>
    <w:uiPriority w:val="59"/>
    <w:rsid w:val="00235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35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5DD9"/>
  </w:style>
  <w:style w:type="paragraph" w:styleId="a7">
    <w:name w:val="footer"/>
    <w:basedOn w:val="a"/>
    <w:link w:val="a8"/>
    <w:uiPriority w:val="99"/>
    <w:unhideWhenUsed/>
    <w:rsid w:val="00235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DD9"/>
  </w:style>
  <w:style w:type="paragraph" w:styleId="a9">
    <w:name w:val="Balloon Text"/>
    <w:basedOn w:val="a"/>
    <w:link w:val="aa"/>
    <w:uiPriority w:val="99"/>
    <w:semiHidden/>
    <w:unhideWhenUsed/>
    <w:rsid w:val="00235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5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phone-number">
    <w:name w:val="js-phone-number"/>
    <w:basedOn w:val="a0"/>
    <w:rsid w:val="00235DD9"/>
  </w:style>
  <w:style w:type="character" w:styleId="a3">
    <w:name w:val="Hyperlink"/>
    <w:basedOn w:val="a0"/>
    <w:uiPriority w:val="99"/>
    <w:semiHidden/>
    <w:unhideWhenUsed/>
    <w:rsid w:val="00235DD9"/>
    <w:rPr>
      <w:color w:val="0000FF"/>
      <w:u w:val="single"/>
    </w:rPr>
  </w:style>
  <w:style w:type="table" w:styleId="a4">
    <w:name w:val="Table Grid"/>
    <w:basedOn w:val="a1"/>
    <w:uiPriority w:val="59"/>
    <w:rsid w:val="00235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35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5DD9"/>
  </w:style>
  <w:style w:type="paragraph" w:styleId="a7">
    <w:name w:val="footer"/>
    <w:basedOn w:val="a"/>
    <w:link w:val="a8"/>
    <w:uiPriority w:val="99"/>
    <w:unhideWhenUsed/>
    <w:rsid w:val="00235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DD9"/>
  </w:style>
  <w:style w:type="paragraph" w:styleId="a9">
    <w:name w:val="Balloon Text"/>
    <w:basedOn w:val="a"/>
    <w:link w:val="aa"/>
    <w:uiPriority w:val="99"/>
    <w:semiHidden/>
    <w:unhideWhenUsed/>
    <w:rsid w:val="00235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5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e.mail.ru/compose?To=ivanchenko.ts@tcax.r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989</Words>
  <Characters>5639</Characters>
  <Application>Microsoft Office Word</Application>
  <DocSecurity>0</DocSecurity>
  <Lines>46</Lines>
  <Paragraphs>13</Paragraphs>
  <ScaleCrop>false</ScaleCrop>
  <Company/>
  <LinksUpToDate>false</LinksUpToDate>
  <CharactersWithSpaces>6615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2019-11-21T10:32:00Z</dcterms:created>
  <dcterms:modified xsi:type="dcterms:W3CDTF">2019-11-21T10:33:00Z</dcterms:modified>
</cp:coreProperties>
</file>